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E8453" w14:textId="77777777" w:rsidR="00C55415" w:rsidRDefault="00EB12C7">
      <w:pPr>
        <w:pStyle w:val="a3"/>
        <w:widowControl/>
        <w:spacing w:beforeAutospacing="0" w:afterAutospacing="0" w:line="400" w:lineRule="exac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8.</w:t>
      </w:r>
      <w:r>
        <w:rPr>
          <w:rFonts w:ascii="仿宋" w:eastAsia="仿宋" w:hAnsi="仿宋" w:cs="仿宋" w:hint="eastAsia"/>
          <w:sz w:val="28"/>
          <w:szCs w:val="28"/>
        </w:rPr>
        <w:t>统计表填报注意事项</w:t>
      </w:r>
    </w:p>
    <w:p w14:paraId="08A73DB2" w14:textId="77777777" w:rsidR="00C55415" w:rsidRDefault="00C55415">
      <w:pPr>
        <w:pStyle w:val="a3"/>
        <w:widowControl/>
        <w:spacing w:beforeAutospacing="0" w:afterAutospacing="0" w:line="400" w:lineRule="exact"/>
        <w:jc w:val="both"/>
        <w:rPr>
          <w:rFonts w:ascii="仿宋" w:eastAsia="仿宋" w:hAnsi="仿宋" w:cs="仿宋"/>
          <w:sz w:val="28"/>
          <w:szCs w:val="28"/>
        </w:rPr>
      </w:pPr>
    </w:p>
    <w:p w14:paraId="364E406A" w14:textId="77777777" w:rsidR="009D4BF5" w:rsidRPr="009D4BF5" w:rsidRDefault="009D4BF5" w:rsidP="009D4BF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ind w:firstLineChars="200" w:firstLine="560"/>
        <w:rPr>
          <w:rStyle w:val="a5"/>
          <w:rFonts w:hint="eastAsia"/>
          <w:color w:val="auto"/>
          <w:sz w:val="28"/>
          <w:szCs w:val="28"/>
        </w:rPr>
      </w:pPr>
      <w:bookmarkStart w:id="0" w:name="_GoBack"/>
      <w:r w:rsidRPr="009D4BF5">
        <w:rPr>
          <w:rFonts w:ascii="仿宋" w:eastAsia="仿宋" w:hAnsi="仿宋" w:cs="仿宋" w:hint="eastAsia"/>
          <w:sz w:val="28"/>
          <w:szCs w:val="28"/>
        </w:rPr>
        <w:t>（1）关于</w:t>
      </w:r>
      <w:r w:rsidRPr="009D4BF5">
        <w:rPr>
          <w:rStyle w:val="a5"/>
          <w:rFonts w:hint="eastAsia"/>
          <w:color w:val="auto"/>
          <w:sz w:val="28"/>
          <w:szCs w:val="28"/>
        </w:rPr>
        <w:t>行政区划：通过</w:t>
      </w:r>
      <w:r w:rsidRPr="009D4BF5">
        <w:rPr>
          <w:rStyle w:val="a5"/>
          <w:color w:val="auto"/>
          <w:sz w:val="28"/>
          <w:szCs w:val="28"/>
        </w:rPr>
        <w:t>excel</w:t>
      </w:r>
      <w:r w:rsidRPr="009D4BF5">
        <w:rPr>
          <w:rStyle w:val="a5"/>
          <w:rFonts w:hint="eastAsia"/>
          <w:color w:val="auto"/>
          <w:sz w:val="28"/>
          <w:szCs w:val="28"/>
        </w:rPr>
        <w:t>表填报的，行政区划代码一栏填写省（自治区、直辖市）、地（市）、县（区）行政区划代码。</w:t>
      </w:r>
    </w:p>
    <w:p w14:paraId="7309E5F1" w14:textId="77777777" w:rsidR="009D4BF5" w:rsidRPr="009D4BF5" w:rsidRDefault="009D4BF5" w:rsidP="009D4BF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D4BF5">
        <w:rPr>
          <w:rStyle w:val="a5"/>
          <w:rFonts w:hint="eastAsia"/>
          <w:color w:val="auto"/>
          <w:sz w:val="28"/>
          <w:szCs w:val="28"/>
        </w:rPr>
        <w:t>（2）</w:t>
      </w:r>
      <w:r w:rsidRPr="009D4BF5">
        <w:rPr>
          <w:rFonts w:ascii="仿宋" w:eastAsia="仿宋" w:hAnsi="仿宋" w:cs="仿宋" w:hint="eastAsia"/>
          <w:sz w:val="28"/>
          <w:szCs w:val="28"/>
        </w:rPr>
        <w:t>关于志书、年鉴、地方史、地情书、教材、理论著述、工具书等，分类应准确，需填报的信息应填尽填，出版时间、书号或准印号等关键信息须标注清楚，出版时间是在</w:t>
      </w:r>
      <w:r w:rsidRPr="009D4BF5">
        <w:rPr>
          <w:rFonts w:ascii="仿宋" w:eastAsia="仿宋" w:hAnsi="仿宋" w:cs="仿宋"/>
          <w:sz w:val="28"/>
          <w:szCs w:val="28"/>
        </w:rPr>
        <w:t>202</w:t>
      </w:r>
      <w:r w:rsidRPr="009D4BF5">
        <w:rPr>
          <w:rFonts w:ascii="仿宋" w:eastAsia="仿宋" w:hAnsi="仿宋" w:cs="仿宋"/>
          <w:sz w:val="28"/>
          <w:szCs w:val="28"/>
          <w:lang w:val="en"/>
        </w:rPr>
        <w:t>1</w:t>
      </w:r>
      <w:r w:rsidRPr="009D4BF5">
        <w:rPr>
          <w:rFonts w:ascii="仿宋" w:eastAsia="仿宋" w:hAnsi="仿宋" w:cs="仿宋" w:hint="eastAsia"/>
          <w:sz w:val="28"/>
          <w:szCs w:val="28"/>
        </w:rPr>
        <w:t>年内已经公开出版或内部印刷完成，在其他年份出版的不填报。如往年漏报，请于备注栏说明；书籍填报统一格式，</w:t>
      </w:r>
      <w:r w:rsidRPr="009D4BF5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如</w:t>
      </w:r>
      <w:r w:rsidRPr="009D4BF5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《山西省志·测绘志》《北京年鉴（</w:t>
      </w:r>
      <w:r w:rsidRPr="009D4BF5"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2019</w:t>
      </w:r>
      <w:r w:rsidRPr="009D4BF5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）》，</w:t>
      </w:r>
      <w:r w:rsidRPr="009D4BF5">
        <w:rPr>
          <w:rFonts w:ascii="仿宋" w:eastAsia="仿宋" w:hAnsi="仿宋" w:cs="仿宋" w:hint="eastAsia"/>
          <w:sz w:val="28"/>
          <w:szCs w:val="28"/>
        </w:rPr>
        <w:t>历代方志整理书名前标注年号，如</w:t>
      </w:r>
      <w:r w:rsidRPr="009D4BF5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嘉庆《灵石县志》；</w:t>
      </w:r>
      <w:r w:rsidRPr="009D4BF5">
        <w:rPr>
          <w:rFonts w:ascii="仿宋" w:eastAsia="仿宋" w:hAnsi="仿宋" w:cs="仿宋" w:hint="eastAsia"/>
          <w:sz w:val="28"/>
          <w:szCs w:val="28"/>
        </w:rPr>
        <w:t>除省市县三级志书为公开出版的外，其他书籍内部出版的需标注清楚内部发行号，无发行号的需在备注栏标注为内部印刷物。</w:t>
      </w:r>
    </w:p>
    <w:p w14:paraId="5DC73AAC" w14:textId="77777777" w:rsidR="009D4BF5" w:rsidRPr="009D4BF5" w:rsidRDefault="009D4BF5" w:rsidP="009D4BF5">
      <w:pPr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D4BF5">
        <w:rPr>
          <w:rFonts w:ascii="仿宋" w:eastAsia="仿宋" w:hAnsi="仿宋" w:cs="仿宋" w:hint="eastAsia"/>
          <w:sz w:val="28"/>
          <w:szCs w:val="28"/>
        </w:rPr>
        <w:t>（3）关于统计上报：按照全国地方志系统统计上报平台用户使用手册（中国方志网</w:t>
      </w:r>
      <w:hyperlink r:id="rId6" w:history="1">
        <w:r w:rsidRPr="009D4BF5">
          <w:rPr>
            <w:rStyle w:val="a5"/>
            <w:color w:val="auto"/>
            <w:sz w:val="28"/>
            <w:szCs w:val="28"/>
          </w:rPr>
          <w:t>www.difangzhi.cn</w:t>
        </w:r>
      </w:hyperlink>
      <w:r w:rsidRPr="009D4BF5">
        <w:rPr>
          <w:rStyle w:val="a4"/>
          <w:rFonts w:ascii="仿宋" w:eastAsia="仿宋" w:hAnsi="仿宋" w:cs="仿宋" w:hint="eastAsia"/>
          <w:sz w:val="28"/>
          <w:szCs w:val="28"/>
        </w:rPr>
        <w:t>→</w:t>
      </w:r>
      <w:r w:rsidRPr="009D4BF5">
        <w:rPr>
          <w:rFonts w:ascii="仿宋" w:eastAsia="仿宋" w:hAnsi="仿宋" w:cs="仿宋" w:hint="eastAsia"/>
          <w:sz w:val="28"/>
          <w:szCs w:val="28"/>
        </w:rPr>
        <w:t>在线服务</w:t>
      </w:r>
      <w:r w:rsidRPr="009D4BF5">
        <w:rPr>
          <w:rStyle w:val="a4"/>
          <w:rFonts w:ascii="仿宋" w:eastAsia="仿宋" w:hAnsi="仿宋" w:cs="仿宋" w:hint="eastAsia"/>
          <w:sz w:val="28"/>
          <w:szCs w:val="28"/>
        </w:rPr>
        <w:t>→</w:t>
      </w:r>
      <w:r w:rsidRPr="009D4BF5">
        <w:rPr>
          <w:rFonts w:ascii="仿宋" w:eastAsia="仿宋" w:hAnsi="仿宋" w:cs="仿宋" w:hint="eastAsia"/>
          <w:sz w:val="28"/>
          <w:szCs w:val="28"/>
        </w:rPr>
        <w:t>在线下载）规范操作。所有统计项共</w:t>
      </w:r>
      <w:r w:rsidRPr="009D4BF5">
        <w:rPr>
          <w:rFonts w:ascii="仿宋" w:eastAsia="仿宋" w:hAnsi="仿宋" w:cs="仿宋"/>
          <w:sz w:val="28"/>
          <w:szCs w:val="28"/>
        </w:rPr>
        <w:t>13</w:t>
      </w:r>
      <w:r w:rsidRPr="009D4BF5">
        <w:rPr>
          <w:rFonts w:ascii="仿宋" w:eastAsia="仿宋" w:hAnsi="仿宋" w:cs="仿宋" w:hint="eastAsia"/>
          <w:sz w:val="28"/>
          <w:szCs w:val="28"/>
        </w:rPr>
        <w:t>个统计表一起报送，请勿拆分逐条报送或部分报送；每个统计表的内容需完整填报，请勿分开报送。</w:t>
      </w:r>
    </w:p>
    <w:p w14:paraId="3F22B685" w14:textId="77777777" w:rsidR="009D4BF5" w:rsidRPr="009D4BF5" w:rsidRDefault="009D4BF5" w:rsidP="009D4BF5">
      <w:pPr>
        <w:pStyle w:val="a6"/>
        <w:spacing w:before="93" w:line="560" w:lineRule="exact"/>
        <w:rPr>
          <w:rFonts w:ascii="仿宋_GB2312" w:eastAsia="仿宋_GB2312" w:hAnsi="仿宋_GB2312" w:cs="仿宋_GB2312" w:hint="eastAsia"/>
          <w:sz w:val="32"/>
        </w:rPr>
      </w:pPr>
    </w:p>
    <w:p w14:paraId="31C0E495" w14:textId="77777777" w:rsidR="009D4BF5" w:rsidRPr="009D4BF5" w:rsidRDefault="009D4BF5" w:rsidP="009D4BF5">
      <w:pPr>
        <w:pStyle w:val="a6"/>
        <w:spacing w:before="93" w:line="560" w:lineRule="exact"/>
        <w:rPr>
          <w:rFonts w:ascii="仿宋_GB2312" w:eastAsia="仿宋_GB2312" w:hAnsi="仿宋_GB2312" w:cs="仿宋_GB2312" w:hint="eastAsia"/>
          <w:sz w:val="32"/>
        </w:rPr>
      </w:pPr>
    </w:p>
    <w:bookmarkEnd w:id="0"/>
    <w:p w14:paraId="6F0BBF96" w14:textId="77777777" w:rsidR="00C55415" w:rsidRDefault="00C55415" w:rsidP="009D4BF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ind w:firstLineChars="200" w:firstLine="420"/>
      </w:pPr>
    </w:p>
    <w:sectPr w:rsidR="00C55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仿宋">
    <w:altName w:val="FangSong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A6F4C"/>
    <w:rsid w:val="007F56D5"/>
    <w:rsid w:val="009D4BF5"/>
    <w:rsid w:val="00C55415"/>
    <w:rsid w:val="00EB12C7"/>
    <w:rsid w:val="45A96046"/>
    <w:rsid w:val="6F1A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7297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CharChar4">
    <w:name w:val="Char Char4"/>
    <w:basedOn w:val="a"/>
    <w:qFormat/>
    <w:rPr>
      <w:rFonts w:ascii="宋体" w:hAnsi="宋体" w:cs="Courier New"/>
      <w:sz w:val="32"/>
      <w:szCs w:val="32"/>
    </w:rPr>
  </w:style>
  <w:style w:type="character" w:styleId="a4">
    <w:name w:val="Strong"/>
    <w:basedOn w:val="a0"/>
    <w:qFormat/>
    <w:rPr>
      <w:rFonts w:cs="Times New Roman"/>
      <w:b/>
    </w:rPr>
  </w:style>
  <w:style w:type="character" w:styleId="a5">
    <w:name w:val="Hyperlink"/>
    <w:basedOn w:val="a0"/>
    <w:qFormat/>
    <w:rPr>
      <w:rFonts w:ascii="仿宋" w:eastAsia="仿宋" w:hAnsi="仿宋" w:cs="仿宋"/>
      <w:color w:val="0000FF"/>
      <w:u w:val="none"/>
    </w:rPr>
  </w:style>
  <w:style w:type="paragraph" w:styleId="a6">
    <w:name w:val="Body Text"/>
    <w:basedOn w:val="a"/>
    <w:link w:val="a7"/>
    <w:qFormat/>
    <w:rsid w:val="009D4BF5"/>
    <w:pPr>
      <w:spacing w:beforeLines="30"/>
    </w:pPr>
    <w:rPr>
      <w:rFonts w:ascii="Times New Roman" w:eastAsia="Times New Roman" w:hAnsi="等线"/>
      <w:sz w:val="30"/>
      <w:szCs w:val="32"/>
    </w:rPr>
  </w:style>
  <w:style w:type="character" w:customStyle="1" w:styleId="a7">
    <w:name w:val="正文文本字符"/>
    <w:basedOn w:val="a0"/>
    <w:link w:val="a6"/>
    <w:rsid w:val="009D4BF5"/>
    <w:rPr>
      <w:rFonts w:eastAsia="Times New Roman" w:hAnsi="等线"/>
      <w:kern w:val="2"/>
      <w:sz w:val="30"/>
      <w:szCs w:val="32"/>
    </w:rPr>
  </w:style>
  <w:style w:type="paragraph" w:customStyle="1" w:styleId="CharChar40">
    <w:name w:val=" Char Char4"/>
    <w:basedOn w:val="a"/>
    <w:rsid w:val="009D4BF5"/>
    <w:rPr>
      <w:rFonts w:ascii="宋体" w:hAnsi="宋体" w:cs="Courier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CharChar4">
    <w:name w:val="Char Char4"/>
    <w:basedOn w:val="a"/>
    <w:qFormat/>
    <w:rPr>
      <w:rFonts w:ascii="宋体" w:hAnsi="宋体" w:cs="Courier New"/>
      <w:sz w:val="32"/>
      <w:szCs w:val="32"/>
    </w:rPr>
  </w:style>
  <w:style w:type="character" w:styleId="a4">
    <w:name w:val="Strong"/>
    <w:basedOn w:val="a0"/>
    <w:qFormat/>
    <w:rPr>
      <w:rFonts w:cs="Times New Roman"/>
      <w:b/>
    </w:rPr>
  </w:style>
  <w:style w:type="character" w:styleId="a5">
    <w:name w:val="Hyperlink"/>
    <w:basedOn w:val="a0"/>
    <w:qFormat/>
    <w:rPr>
      <w:rFonts w:ascii="仿宋" w:eastAsia="仿宋" w:hAnsi="仿宋" w:cs="仿宋"/>
      <w:color w:val="0000FF"/>
      <w:u w:val="none"/>
    </w:rPr>
  </w:style>
  <w:style w:type="paragraph" w:styleId="a6">
    <w:name w:val="Body Text"/>
    <w:basedOn w:val="a"/>
    <w:link w:val="a7"/>
    <w:qFormat/>
    <w:rsid w:val="009D4BF5"/>
    <w:pPr>
      <w:spacing w:beforeLines="30"/>
    </w:pPr>
    <w:rPr>
      <w:rFonts w:ascii="Times New Roman" w:eastAsia="Times New Roman" w:hAnsi="等线"/>
      <w:sz w:val="30"/>
      <w:szCs w:val="32"/>
    </w:rPr>
  </w:style>
  <w:style w:type="character" w:customStyle="1" w:styleId="a7">
    <w:name w:val="正文文本字符"/>
    <w:basedOn w:val="a0"/>
    <w:link w:val="a6"/>
    <w:rsid w:val="009D4BF5"/>
    <w:rPr>
      <w:rFonts w:eastAsia="Times New Roman" w:hAnsi="等线"/>
      <w:kern w:val="2"/>
      <w:sz w:val="30"/>
      <w:szCs w:val="32"/>
    </w:rPr>
  </w:style>
  <w:style w:type="paragraph" w:customStyle="1" w:styleId="CharChar40">
    <w:name w:val=" Char Char4"/>
    <w:basedOn w:val="a"/>
    <w:rsid w:val="009D4BF5"/>
    <w:rPr>
      <w:rFonts w:ascii="宋体" w:hAnsi="宋体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difangzhi.cn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Macintosh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zhangjp</dc:creator>
  <cp:lastModifiedBy>张</cp:lastModifiedBy>
  <cp:revision>6</cp:revision>
  <dcterms:created xsi:type="dcterms:W3CDTF">2020-12-31T01:18:00Z</dcterms:created>
  <dcterms:modified xsi:type="dcterms:W3CDTF">2022-01-05T08:07:00Z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